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24707" w:rsidP="00B12C08">
      <w:pPr>
        <w:tabs>
          <w:tab w:val="right" w:pos="10080"/>
        </w:tabs>
        <w:rPr>
          <w:i/>
          <w:iCs/>
          <w:sz w:val="26"/>
          <w:szCs w:val="26"/>
          <w:lang w:val="en-US"/>
        </w:rPr>
      </w:pPr>
      <w:r w:rsidRPr="00B12C08">
        <w:rPr>
          <w:i/>
          <w:iCs/>
          <w:sz w:val="26"/>
          <w:szCs w:val="26"/>
          <w:lang w:val="en-US"/>
        </w:rPr>
        <w:t>Cash Flow Forecast for Pyramid Promotions Co. Jan to April 2015 ($) Figures in () are negative.</w:t>
      </w:r>
    </w:p>
    <w:tbl>
      <w:tblPr>
        <w:tblW w:w="11063" w:type="dxa"/>
        <w:tblInd w:w="-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65"/>
        <w:gridCol w:w="1995"/>
        <w:gridCol w:w="2267"/>
        <w:gridCol w:w="1601"/>
        <w:gridCol w:w="1935"/>
      </w:tblGrid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Cash Inflows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January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February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March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April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Cash Sales</w:t>
            </w:r>
          </w:p>
        </w:tc>
        <w:tc>
          <w:tcPr>
            <w:tcW w:w="1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15 000</w:t>
            </w:r>
          </w:p>
        </w:tc>
        <w:tc>
          <w:tcPr>
            <w:tcW w:w="22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15 000</w:t>
            </w:r>
          </w:p>
        </w:tc>
        <w:tc>
          <w:tcPr>
            <w:tcW w:w="16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20 000</w:t>
            </w:r>
          </w:p>
        </w:tc>
        <w:tc>
          <w:tcPr>
            <w:tcW w:w="19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25 000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Payments from Debtors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5 000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5 000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7 000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8 000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Total Cash Inflows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20 000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20 000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27 000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33 000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Cash Outflows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Materials and wages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3 000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3 000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5 000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7 000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Rent and other expenses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15 000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15 000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25 000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15 000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Total Cash Outflows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18 000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18 000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30 000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Z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Opening Bank Balance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3 000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5 000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7 000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4 000</w:t>
            </w:r>
          </w:p>
        </w:tc>
      </w:tr>
      <w:tr w:rsidR="00B12C08" w:rsidRPr="00B12C08" w:rsidTr="00B12C08">
        <w:trPr>
          <w:trHeight w:val="16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New Cash Flow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2 000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X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(3 000)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11 000</w:t>
            </w:r>
          </w:p>
        </w:tc>
      </w:tr>
      <w:tr w:rsidR="00B12C08" w:rsidRPr="00B12C08" w:rsidTr="00B12C08">
        <w:trPr>
          <w:trHeight w:val="331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>Closing Bank Balance</w:t>
            </w:r>
          </w:p>
        </w:tc>
        <w:tc>
          <w:tcPr>
            <w:tcW w:w="1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5 000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7 000</w:t>
            </w:r>
          </w:p>
        </w:tc>
        <w:tc>
          <w:tcPr>
            <w:tcW w:w="16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b/>
                <w:bCs/>
                <w:i/>
                <w:iCs/>
                <w:sz w:val="24"/>
                <w:szCs w:val="26"/>
                <w:lang w:val="en-US"/>
              </w:rPr>
              <w:t xml:space="preserve">Y 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C08" w:rsidRPr="00B12C08" w:rsidRDefault="00B12C08" w:rsidP="00B12C08">
            <w:pPr>
              <w:tabs>
                <w:tab w:val="right" w:pos="10080"/>
              </w:tabs>
              <w:rPr>
                <w:i/>
                <w:iCs/>
                <w:sz w:val="24"/>
                <w:szCs w:val="26"/>
              </w:rPr>
            </w:pPr>
            <w:r w:rsidRPr="00B12C08">
              <w:rPr>
                <w:i/>
                <w:iCs/>
                <w:sz w:val="24"/>
                <w:szCs w:val="26"/>
                <w:lang w:val="en-US"/>
              </w:rPr>
              <w:t>15 000</w:t>
            </w:r>
          </w:p>
        </w:tc>
      </w:tr>
    </w:tbl>
    <w:p w:rsidR="00B12C08" w:rsidRPr="00B12C08" w:rsidRDefault="00B12C08" w:rsidP="00B12C08">
      <w:pPr>
        <w:tabs>
          <w:tab w:val="right" w:pos="10080"/>
        </w:tabs>
        <w:rPr>
          <w:sz w:val="2"/>
          <w:szCs w:val="26"/>
        </w:rPr>
      </w:pPr>
    </w:p>
    <w:p w:rsidR="00000000" w:rsidRPr="00B12C08" w:rsidRDefault="00C24707" w:rsidP="00B12C08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B12C08">
        <w:rPr>
          <w:sz w:val="26"/>
          <w:szCs w:val="26"/>
          <w:lang w:val="en-US"/>
        </w:rPr>
        <w:t>Calculate va</w:t>
      </w:r>
      <w:r w:rsidRPr="00B12C08">
        <w:rPr>
          <w:sz w:val="26"/>
          <w:szCs w:val="26"/>
          <w:lang w:val="en-US"/>
        </w:rPr>
        <w:t>lues for x, y and z.</w:t>
      </w:r>
    </w:p>
    <w:p w:rsidR="00B12C08" w:rsidRPr="00B12C08" w:rsidRDefault="00B12C08" w:rsidP="00B12C08">
      <w:pPr>
        <w:tabs>
          <w:tab w:val="right" w:pos="10080"/>
        </w:tabs>
        <w:rPr>
          <w:sz w:val="26"/>
          <w:szCs w:val="26"/>
        </w:rPr>
      </w:pPr>
      <w:r w:rsidRPr="00B12C08">
        <w:rPr>
          <w:sz w:val="26"/>
          <w:szCs w:val="26"/>
        </w:rPr>
        <w:t>__________________________________________________________________________________________</w:t>
      </w:r>
      <w:r>
        <w:rPr>
          <w:sz w:val="26"/>
          <w:szCs w:val="26"/>
        </w:rPr>
        <w:t>___________</w:t>
      </w:r>
      <w:r w:rsidRPr="00B12C08">
        <w:rPr>
          <w:sz w:val="26"/>
          <w:szCs w:val="26"/>
        </w:rPr>
        <w:t>__________________________________________________</w:t>
      </w:r>
      <w:r w:rsidRPr="00B12C08">
        <w:rPr>
          <w:sz w:val="26"/>
          <w:szCs w:val="26"/>
        </w:rPr>
        <w:tab/>
        <w:t>[2]</w:t>
      </w:r>
    </w:p>
    <w:p w:rsidR="00000000" w:rsidRPr="00B12C08" w:rsidRDefault="00C24707" w:rsidP="00B12C08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B12C08">
        <w:rPr>
          <w:sz w:val="26"/>
          <w:szCs w:val="26"/>
          <w:lang w:val="en-US"/>
        </w:rPr>
        <w:t>Suggest one reason why ‘materials and wages’ are forecast to be so much higher in March and April than in the previous months.</w:t>
      </w:r>
    </w:p>
    <w:p w:rsidR="00B12C08" w:rsidRPr="00B12C08" w:rsidRDefault="00B12C08" w:rsidP="00B12C08">
      <w:pPr>
        <w:tabs>
          <w:tab w:val="right" w:pos="10080"/>
        </w:tabs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ab/>
        <w:t>[2]</w:t>
      </w:r>
    </w:p>
    <w:p w:rsidR="00000000" w:rsidRPr="00B12C08" w:rsidRDefault="00C24707" w:rsidP="00B12C08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B12C08">
        <w:rPr>
          <w:sz w:val="26"/>
          <w:szCs w:val="26"/>
          <w:lang w:val="en-US"/>
        </w:rPr>
        <w:t>In April, cash sales are now expected to be 10% higher than shown. Material and wages are expected to be 20% higher than forecast. Amend the cash flow forecast for April and calculate the new closing cash balance.</w:t>
      </w:r>
    </w:p>
    <w:p w:rsidR="00220C19" w:rsidRPr="00786D97" w:rsidRDefault="00B12C08" w:rsidP="00786D97">
      <w:pPr>
        <w:tabs>
          <w:tab w:val="right" w:pos="10080"/>
        </w:tabs>
        <w:rPr>
          <w:sz w:val="26"/>
          <w:szCs w:val="26"/>
        </w:rPr>
      </w:pPr>
      <w:r w:rsidRPr="00B12C0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</w:t>
      </w:r>
      <w:r w:rsidRPr="00B12C08">
        <w:rPr>
          <w:sz w:val="26"/>
          <w:szCs w:val="26"/>
        </w:rPr>
        <w:t>______________________________________________________________</w:t>
      </w:r>
      <w:r w:rsidRPr="00B12C08">
        <w:rPr>
          <w:sz w:val="26"/>
          <w:szCs w:val="26"/>
        </w:rPr>
        <w:tab/>
        <w:t>[</w:t>
      </w:r>
      <w:r>
        <w:rPr>
          <w:sz w:val="26"/>
          <w:szCs w:val="26"/>
        </w:rPr>
        <w:t>4</w:t>
      </w:r>
      <w:r w:rsidRPr="00B12C08">
        <w:rPr>
          <w:sz w:val="26"/>
          <w:szCs w:val="26"/>
        </w:rPr>
        <w:t>]</w:t>
      </w:r>
      <w:bookmarkStart w:id="0" w:name="_GoBack"/>
      <w:bookmarkEnd w:id="0"/>
    </w:p>
    <w:sectPr w:rsidR="00220C19" w:rsidRPr="00786D97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707" w:rsidRDefault="00C24707" w:rsidP="00027C4B">
      <w:pPr>
        <w:spacing w:after="0" w:line="240" w:lineRule="auto"/>
      </w:pPr>
      <w:r>
        <w:separator/>
      </w:r>
    </w:p>
  </w:endnote>
  <w:endnote w:type="continuationSeparator" w:id="0">
    <w:p w:rsidR="00C24707" w:rsidRDefault="00C24707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707" w:rsidRDefault="00C24707" w:rsidP="00027C4B">
      <w:pPr>
        <w:spacing w:after="0" w:line="240" w:lineRule="auto"/>
      </w:pPr>
      <w:r>
        <w:separator/>
      </w:r>
    </w:p>
  </w:footnote>
  <w:footnote w:type="continuationSeparator" w:id="0">
    <w:p w:rsidR="00C24707" w:rsidRDefault="00C24707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B12C08" w:rsidRDefault="00B12C08" w:rsidP="00B12C08">
    <w:pPr>
      <w:tabs>
        <w:tab w:val="right" w:pos="10080"/>
      </w:tabs>
      <w:rPr>
        <w:sz w:val="30"/>
        <w:szCs w:val="26"/>
      </w:rPr>
    </w:pPr>
    <w:r w:rsidRPr="00B12C08">
      <w:rPr>
        <w:b/>
        <w:bCs/>
        <w:sz w:val="30"/>
        <w:szCs w:val="26"/>
        <w:lang w:val="en-US"/>
      </w:rPr>
      <w:t>Activity 22.3: Using a Cash Flow Forecast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228CD"/>
    <w:multiLevelType w:val="hybridMultilevel"/>
    <w:tmpl w:val="E8C211D4"/>
    <w:lvl w:ilvl="0" w:tplc="54001A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1EF4E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A7AD0B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4A878F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9C48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80833E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8B94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1E2C8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42FB2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667081"/>
    <w:multiLevelType w:val="hybridMultilevel"/>
    <w:tmpl w:val="AD62277C"/>
    <w:lvl w:ilvl="0" w:tplc="12D2455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A8609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7021F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D69EC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D8CCC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CEA5F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9E8A26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3946E8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E8950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3D7C19"/>
    <w:rsid w:val="004B65C5"/>
    <w:rsid w:val="005263C1"/>
    <w:rsid w:val="005C2A75"/>
    <w:rsid w:val="007254DF"/>
    <w:rsid w:val="00757EFC"/>
    <w:rsid w:val="0076197F"/>
    <w:rsid w:val="00786D97"/>
    <w:rsid w:val="00842464"/>
    <w:rsid w:val="00865A6C"/>
    <w:rsid w:val="008B1285"/>
    <w:rsid w:val="009F52DD"/>
    <w:rsid w:val="00B12C08"/>
    <w:rsid w:val="00C24707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4F625-B9F9-4248-91AA-2004356F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7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02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7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95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22.3 - Using a Cash Flow Forecast</Template>
  <TotalTime>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2015-12-19T18:42:00Z</dcterms:created>
  <dcterms:modified xsi:type="dcterms:W3CDTF">2015-12-19T18:42:00Z</dcterms:modified>
</cp:coreProperties>
</file>